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Normal.0"/>
        <w:widowControl w:val="0"/>
        <w:spacing w:line="240" w:lineRule="auto"/>
        <w:ind w:left="136" w:hanging="136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454760</wp:posOffset>
                </wp:positionH>
                <wp:positionV relativeFrom="page">
                  <wp:posOffset>614562</wp:posOffset>
                </wp:positionV>
                <wp:extent cx="6451524" cy="477520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524" cy="4775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7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6"/>
                              <w:gridCol w:w="567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II SEMESTR III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TECHNIK KLASYCZNYCH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PROJEKTOWANIA GRAFICZNEGO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SITODRUK (GR. IB i IIB)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LITOGRAFII (GR. IA i IIA)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TYPOGRAFIA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LITERNICTWO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FOTOGRAFIA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MULTIMEDI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(WARSZTATY)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RYSUNEK I PROPEDEUTYKA OBRAZU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STRUKTURY WIZUALNE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 SZTUKI*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 FILOZOFII*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ZYK OBCY*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zkowych: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do wyboru: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RAZEM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Przedmioty oferowane przez MSKKT i SJO.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643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00" w:lineRule="exact"/>
                                    <w:ind w:left="30" w:firstLine="0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.8pt;margin-top:48.4pt;width:508.0pt;height:376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7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6"/>
                        <w:gridCol w:w="567"/>
                        <w:gridCol w:w="567"/>
                        <w:gridCol w:w="567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II SEMESTR III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TECHNIK KLASYCZNYCH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PROJEKTOWANIA GRAFICZNEGO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SITODRUK (GR. IB i IIB)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LITOGRAFII (GR. IA i IIA)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TYPOGRAFIA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LITERNICTWO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FOTOGRAFIA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MULTIMEDI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(WARSZTATY)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RYSUNEK I PROPEDEUTYKA OBRAZU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STRUKTURY WIZUALNE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 SZTUKI*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 FILOZOFII*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ZYK OBCY*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zkowych: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do wyboru: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RAZEM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Przedmioty oferowane przez MSKKT i SJO.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643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00" w:lineRule="exact"/>
                              <w:ind w:left="30" w:firstLine="0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br w:type="textWrapping"/>
      </w:r>
      <w:r>
        <w:br w:type="page"/>
      </w:r>
    </w:p>
    <w:p>
      <w:pPr>
        <w:pStyle w:val="Normal.0"/>
        <w:widowControl w:val="0"/>
        <w:spacing w:line="240" w:lineRule="auto"/>
        <w:ind w:left="136" w:hanging="136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454599</wp:posOffset>
                </wp:positionH>
                <wp:positionV relativeFrom="page">
                  <wp:posOffset>438349</wp:posOffset>
                </wp:positionV>
                <wp:extent cx="5590541" cy="5361941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1" cy="53619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8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II SEMESTR IV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TECHNIK KLASYCZNYCH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PROJEKTOWANIA GRAFICZNEGO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SITODRUK (GR. IA i IIA)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LITOGRAFII (GR. IA i IIA)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TYPOGRAFIA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LITERNICTWO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FOTOGRAFIA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MULTIMEDI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(WARSZTATY)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RYSUNEK I PROPEDEUTYKA OBRAZU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STRUKTURY WIZUALNE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 SZTUKI*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 FILOZOFII*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ZYK OBCY*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zkowych: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do wyboru: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RAZEM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211" w:hRule="atLeas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Przedmioty oferowane przez MSKKT i SJO.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tabs>
                                      <w:tab w:val="left" w:pos="5388"/>
                                    </w:tabs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Czerwiec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student przygotowuje portfolio dotycz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ce zapis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 do pracowni specjalistycznych oraz do pracowni rysunkowych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tabs>
                                      <w:tab w:val="left" w:pos="5388"/>
                                    </w:tabs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 malarskich. Zapisy do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1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pracowni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specjalistycznych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Student wybiera 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zkowo 2 pracownie specjalistyczne, 1 pracowni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ę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rysunku, 1 pracowni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ę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tabs>
                                      <w:tab w:val="left" w:pos="5388"/>
                                    </w:tabs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Czerwiec/Lipiec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opublikowanie listy os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b przyj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tych do pracowni specjalistycznych oraz pracowni rysunku i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643" w:hRule="atLeas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00" w:lineRule="exact"/>
                                    <w:ind w:left="30" w:firstLine="0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5.8pt;margin-top:34.5pt;width:440.2pt;height:422.2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8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II SEMESTR IV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TECHNIK KLASYCZNYCH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PROJEKTOWANIA GRAFICZNEGO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SITODRUK (GR. IA i IIA)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LITOGRAFII (GR. IA i IIA)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TYPOGRAFIA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LITERNICTWO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FOTOGRAFIA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MULTIMEDI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(WARSZTATY)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RYSUNEK I PROPEDEUTYKA OBRAZU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STRUKTURY WIZUALNE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 SZTUKI*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 FILOZOFII*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ZYK OBCY*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zkowych: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do wyboru: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RAZEM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211" w:hRule="atLeas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Przedmioty oferowane przez MSKKT i SJO.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tabs>
                                <w:tab w:val="left" w:pos="5388"/>
                              </w:tabs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Czerwiec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student przygotowuje portfolio dotycz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ce zapis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 do pracowni specjalistycznych oraz do pracowni rysunkowych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tabs>
                                <w:tab w:val="left" w:pos="5388"/>
                              </w:tabs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 malarskich. Zapisy do</w:t>
                            </w:r>
                            <w:r>
                              <w:rPr>
                                <w:b w:val="0"/>
                                <w:bCs w:val="0"/>
                                <w:spacing w:val="-1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pracowni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specjalistycznych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Student wybiera 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zkowo 2 pracownie specjalistyczne, 1 pracowni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ę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rysunku, 1 pracowni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ę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tabs>
                                <w:tab w:val="left" w:pos="5388"/>
                              </w:tabs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Czerwiec/Lipiec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opublikowanie listy os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b przyj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tych do pracowni specjalistycznych oraz pracowni rysunku i</w:t>
                            </w:r>
                            <w:r>
                              <w:rPr>
                                <w:spacing w:val="-1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malarstwa.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643" w:hRule="atLeas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00" w:lineRule="exact"/>
                              <w:ind w:left="30" w:firstLine="0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20" w:h="16840" w:orient="portrait"/>
      <w:pgMar w:top="680" w:right="943" w:bottom="680" w:left="680" w:header="0" w:footer="2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8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8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